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D3607" w14:textId="4139189F" w:rsidR="00CC5D53" w:rsidRPr="007A1770" w:rsidRDefault="00CC5D53" w:rsidP="001E4F4C">
      <w:pPr>
        <w:widowControl w:val="0"/>
        <w:suppressAutoHyphens/>
        <w:spacing w:before="0" w:after="120" w:line="300" w:lineRule="exact"/>
        <w:jc w:val="center"/>
        <w:outlineLvl w:val="0"/>
        <w:rPr>
          <w:rFonts w:ascii="Calibri" w:eastAsia="Times" w:hAnsi="Calibri" w:cs="Calibri"/>
          <w:b/>
          <w:color w:val="000000" w:themeColor="text1"/>
          <w:sz w:val="26"/>
          <w:szCs w:val="26"/>
          <w:lang w:val="fr-FR" w:eastAsia="ar-SA"/>
        </w:rPr>
      </w:pPr>
      <w:bookmarkStart w:id="0" w:name="_GoBack"/>
      <w:bookmarkEnd w:id="0"/>
      <w:r w:rsidRPr="007A1770">
        <w:rPr>
          <w:rFonts w:ascii="Calibri" w:eastAsia="Times" w:hAnsi="Calibri" w:cs="Calibri" w:hint="eastAsia"/>
          <w:b/>
          <w:color w:val="000000" w:themeColor="text1"/>
          <w:sz w:val="26"/>
          <w:szCs w:val="26"/>
          <w:lang w:val="fr-FR" w:eastAsia="ar-SA"/>
        </w:rPr>
        <w:t xml:space="preserve">Annexe relative aux Contribution aux </w:t>
      </w:r>
      <w:proofErr w:type="spellStart"/>
      <w:r w:rsidRPr="007A1770">
        <w:rPr>
          <w:rFonts w:ascii="Calibri" w:eastAsia="Times" w:hAnsi="Calibri" w:cs="Calibri" w:hint="eastAsia"/>
          <w:b/>
          <w:color w:val="000000" w:themeColor="text1"/>
          <w:sz w:val="26"/>
          <w:szCs w:val="26"/>
          <w:lang w:val="fr-FR" w:eastAsia="ar-SA"/>
        </w:rPr>
        <w:t>réseaux</w:t>
      </w:r>
      <w:proofErr w:type="spellEnd"/>
      <w:r w:rsidRPr="007A1770">
        <w:rPr>
          <w:rFonts w:ascii="Calibri" w:eastAsia="Times" w:hAnsi="Calibri" w:cs="Calibri" w:hint="eastAsia"/>
          <w:b/>
          <w:color w:val="000000" w:themeColor="text1"/>
          <w:sz w:val="26"/>
          <w:szCs w:val="26"/>
          <w:lang w:val="fr-FR" w:eastAsia="ar-SA"/>
        </w:rPr>
        <w:t xml:space="preserve"> ARGO / </w:t>
      </w:r>
      <w:r w:rsidR="00FA6200" w:rsidRPr="007A1770">
        <w:rPr>
          <w:rFonts w:ascii="Calibri" w:eastAsia="Times" w:hAnsi="Calibri" w:cs="Calibri"/>
          <w:b/>
          <w:color w:val="000000" w:themeColor="text1"/>
          <w:sz w:val="26"/>
          <w:szCs w:val="26"/>
          <w:lang w:val="fr-FR" w:eastAsia="ar-SA"/>
        </w:rPr>
        <w:t>BGC-Argo</w:t>
      </w:r>
      <w:r w:rsidRPr="007A1770">
        <w:rPr>
          <w:rFonts w:ascii="Calibri" w:eastAsia="Times" w:hAnsi="Calibri" w:cs="Calibri" w:hint="eastAsia"/>
          <w:b/>
          <w:color w:val="000000" w:themeColor="text1"/>
          <w:sz w:val="26"/>
          <w:szCs w:val="26"/>
          <w:lang w:val="fr-FR" w:eastAsia="ar-SA"/>
        </w:rPr>
        <w:t>/ Coriolis</w:t>
      </w:r>
    </w:p>
    <w:p w14:paraId="2D1E65BD" w14:textId="77777777" w:rsidR="00CC5D53" w:rsidRPr="007A1770" w:rsidRDefault="00CC5D53" w:rsidP="001E4F4C">
      <w:pPr>
        <w:suppressAutoHyphens/>
        <w:spacing w:before="0" w:after="120"/>
        <w:jc w:val="left"/>
        <w:outlineLvl w:val="0"/>
        <w:rPr>
          <w:rFonts w:ascii="Calibri" w:eastAsia="Arial Unicode MS" w:hAnsi="Calibri"/>
          <w:b/>
          <w:color w:val="000000" w:themeColor="text1"/>
          <w:kern w:val="1"/>
          <w:sz w:val="28"/>
          <w:lang w:val="fr-FR" w:eastAsia="ar-SA"/>
        </w:rPr>
      </w:pPr>
      <w:r w:rsidRPr="007A1770">
        <w:rPr>
          <w:rFonts w:ascii="Calibri" w:eastAsia="Arial Unicode MS" w:hAnsi="Calibri"/>
          <w:b/>
          <w:color w:val="000000" w:themeColor="text1"/>
          <w:kern w:val="1"/>
          <w:sz w:val="28"/>
          <w:lang w:val="fr-FR" w:eastAsia="ar-SA"/>
        </w:rPr>
        <w:t>ANNEXE 1 – Caractéristiques des flotteurs mis à disposition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554"/>
        <w:gridCol w:w="1274"/>
        <w:gridCol w:w="2150"/>
        <w:gridCol w:w="1736"/>
        <w:gridCol w:w="1470"/>
      </w:tblGrid>
      <w:tr w:rsidR="007A1770" w:rsidRPr="007A1770" w14:paraId="322E2A65" w14:textId="77777777" w:rsidTr="006162B9">
        <w:tc>
          <w:tcPr>
            <w:tcW w:w="1098" w:type="dxa"/>
            <w:shd w:val="clear" w:color="auto" w:fill="auto"/>
            <w:tcMar>
              <w:top w:w="85" w:type="dxa"/>
            </w:tcMar>
          </w:tcPr>
          <w:p w14:paraId="0231CA2C"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Réseau</w:t>
            </w:r>
          </w:p>
        </w:tc>
        <w:tc>
          <w:tcPr>
            <w:tcW w:w="1554" w:type="dxa"/>
            <w:shd w:val="clear" w:color="auto" w:fill="auto"/>
            <w:tcMar>
              <w:top w:w="85" w:type="dxa"/>
            </w:tcMar>
          </w:tcPr>
          <w:p w14:paraId="4B25B8EC"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Type de Flotteur</w:t>
            </w:r>
          </w:p>
        </w:tc>
        <w:tc>
          <w:tcPr>
            <w:tcW w:w="1274" w:type="dxa"/>
            <w:shd w:val="clear" w:color="auto" w:fill="auto"/>
            <w:tcMar>
              <w:top w:w="85" w:type="dxa"/>
            </w:tcMar>
          </w:tcPr>
          <w:p w14:paraId="013425C2"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Système de transmission</w:t>
            </w:r>
          </w:p>
        </w:tc>
        <w:tc>
          <w:tcPr>
            <w:tcW w:w="2150" w:type="dxa"/>
            <w:shd w:val="clear" w:color="auto" w:fill="auto"/>
            <w:tcMar>
              <w:top w:w="85" w:type="dxa"/>
            </w:tcMar>
          </w:tcPr>
          <w:p w14:paraId="48993CCC"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Paramètres mensurés</w:t>
            </w:r>
          </w:p>
        </w:tc>
        <w:tc>
          <w:tcPr>
            <w:tcW w:w="1736" w:type="dxa"/>
            <w:shd w:val="clear" w:color="auto" w:fill="auto"/>
            <w:tcMar>
              <w:top w:w="85" w:type="dxa"/>
            </w:tcMar>
          </w:tcPr>
          <w:p w14:paraId="39BE363A"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Possibilité de modifier la stratégie d’échantillonnage au cours de la vie du flotteur</w:t>
            </w:r>
          </w:p>
        </w:tc>
        <w:tc>
          <w:tcPr>
            <w:tcW w:w="1470" w:type="dxa"/>
            <w:tcMar>
              <w:top w:w="85" w:type="dxa"/>
            </w:tcMar>
          </w:tcPr>
          <w:p w14:paraId="51332563" w14:textId="77777777" w:rsidR="00CC5D53" w:rsidRPr="007A1770" w:rsidRDefault="00CC5D53" w:rsidP="00CC5D53">
            <w:pPr>
              <w:suppressAutoHyphens/>
              <w:spacing w:before="0" w:after="120"/>
              <w:jc w:val="left"/>
              <w:rPr>
                <w:rFonts w:ascii="Calibri" w:eastAsia="Arial Unicode MS" w:hAnsi="Calibri"/>
                <w:b/>
                <w:color w:val="000000" w:themeColor="text1"/>
                <w:kern w:val="1"/>
                <w:szCs w:val="16"/>
                <w:lang w:val="fr-FR" w:eastAsia="ar-SA"/>
              </w:rPr>
            </w:pPr>
            <w:r w:rsidRPr="007A1770">
              <w:rPr>
                <w:rFonts w:ascii="Calibri" w:eastAsia="Arial Unicode MS" w:hAnsi="Calibri"/>
                <w:b/>
                <w:color w:val="000000" w:themeColor="text1"/>
                <w:kern w:val="1"/>
                <w:szCs w:val="16"/>
                <w:lang w:val="fr-FR" w:eastAsia="ar-SA"/>
              </w:rPr>
              <w:t>Contact GMMC</w:t>
            </w:r>
          </w:p>
        </w:tc>
      </w:tr>
      <w:tr w:rsidR="007A1770" w:rsidRPr="007A1770" w14:paraId="70CEFBF8" w14:textId="77777777" w:rsidTr="006162B9">
        <w:trPr>
          <w:trHeight w:val="474"/>
        </w:trPr>
        <w:tc>
          <w:tcPr>
            <w:tcW w:w="1098" w:type="dxa"/>
            <w:shd w:val="clear" w:color="auto" w:fill="auto"/>
            <w:tcMar>
              <w:top w:w="85" w:type="dxa"/>
            </w:tcMar>
          </w:tcPr>
          <w:p w14:paraId="301D3FF5"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ARGO</w:t>
            </w:r>
          </w:p>
        </w:tc>
        <w:tc>
          <w:tcPr>
            <w:tcW w:w="1554" w:type="dxa"/>
            <w:shd w:val="clear" w:color="auto" w:fill="auto"/>
            <w:tcMar>
              <w:top w:w="85" w:type="dxa"/>
            </w:tcMar>
          </w:tcPr>
          <w:p w14:paraId="6D2B569E"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Arvor</w:t>
            </w:r>
          </w:p>
        </w:tc>
        <w:tc>
          <w:tcPr>
            <w:tcW w:w="1274" w:type="dxa"/>
            <w:shd w:val="clear" w:color="auto" w:fill="auto"/>
            <w:tcMar>
              <w:top w:w="85" w:type="dxa"/>
            </w:tcMar>
          </w:tcPr>
          <w:p w14:paraId="32A6E994" w14:textId="41902892"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Argos</w:t>
            </w:r>
            <w:r w:rsidR="0080721E" w:rsidRPr="007A1770">
              <w:rPr>
                <w:rFonts w:ascii="Calibri" w:eastAsia="Arial Unicode MS" w:hAnsi="Calibri"/>
                <w:color w:val="000000" w:themeColor="text1"/>
                <w:kern w:val="1"/>
                <w:szCs w:val="16"/>
                <w:lang w:val="fr-FR" w:eastAsia="ar-SA"/>
              </w:rPr>
              <w:t xml:space="preserve"> ou Iridium</w:t>
            </w:r>
          </w:p>
        </w:tc>
        <w:tc>
          <w:tcPr>
            <w:tcW w:w="2150" w:type="dxa"/>
            <w:shd w:val="clear" w:color="auto" w:fill="auto"/>
            <w:tcMar>
              <w:top w:w="85" w:type="dxa"/>
            </w:tcMar>
          </w:tcPr>
          <w:p w14:paraId="485BA81C"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Température</w:t>
            </w:r>
          </w:p>
          <w:p w14:paraId="72C5F899"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Salinité</w:t>
            </w:r>
          </w:p>
          <w:p w14:paraId="7F4D0FBD" w14:textId="38F89BD4" w:rsidR="00C16E6C" w:rsidRPr="007A1770" w:rsidRDefault="00C16E6C" w:rsidP="00F15B35">
            <w:pPr>
              <w:suppressAutoHyphens/>
              <w:spacing w:before="0" w:after="120"/>
              <w:jc w:val="left"/>
              <w:rPr>
                <w:rFonts w:ascii="Calibri" w:eastAsia="Arial Unicode MS" w:hAnsi="Calibri"/>
                <w:color w:val="000000" w:themeColor="text1"/>
                <w:kern w:val="1"/>
                <w:szCs w:val="16"/>
                <w:lang w:val="fr-FR" w:eastAsia="ar-SA"/>
              </w:rPr>
            </w:pPr>
          </w:p>
        </w:tc>
        <w:tc>
          <w:tcPr>
            <w:tcW w:w="1736" w:type="dxa"/>
            <w:shd w:val="clear" w:color="auto" w:fill="auto"/>
            <w:tcMar>
              <w:top w:w="85" w:type="dxa"/>
            </w:tcMar>
          </w:tcPr>
          <w:p w14:paraId="4A61B022" w14:textId="54F155E6" w:rsidR="00CC5D53" w:rsidRPr="007A1770" w:rsidRDefault="0080721E" w:rsidP="00530E94">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Oui, Iridium ou f</w:t>
            </w:r>
            <w:r w:rsidR="00530E94" w:rsidRPr="007A1770">
              <w:rPr>
                <w:rFonts w:ascii="Calibri" w:eastAsia="Arial Unicode MS" w:hAnsi="Calibri"/>
                <w:color w:val="000000" w:themeColor="text1"/>
                <w:kern w:val="1"/>
                <w:szCs w:val="16"/>
                <w:lang w:val="fr-FR" w:eastAsia="ar-SA"/>
              </w:rPr>
              <w:t xml:space="preserve">onctionnalité bi-mission </w:t>
            </w:r>
            <w:r w:rsidRPr="007A1770">
              <w:rPr>
                <w:rFonts w:ascii="Calibri" w:eastAsia="Arial Unicode MS" w:hAnsi="Calibri"/>
                <w:color w:val="000000" w:themeColor="text1"/>
                <w:kern w:val="1"/>
                <w:szCs w:val="16"/>
                <w:lang w:val="fr-FR" w:eastAsia="ar-SA"/>
              </w:rPr>
              <w:t xml:space="preserve">en Argos </w:t>
            </w:r>
            <w:proofErr w:type="gramStart"/>
            <w:r w:rsidR="00530E94" w:rsidRPr="007A1770">
              <w:rPr>
                <w:rFonts w:ascii="Calibri" w:eastAsia="Arial Unicode MS" w:hAnsi="Calibri"/>
                <w:color w:val="000000" w:themeColor="text1"/>
                <w:kern w:val="1"/>
                <w:szCs w:val="16"/>
                <w:lang w:val="fr-FR" w:eastAsia="ar-SA"/>
              </w:rPr>
              <w:t>permettant  d’avoir</w:t>
            </w:r>
            <w:proofErr w:type="gramEnd"/>
            <w:r w:rsidR="00530E94" w:rsidRPr="007A1770">
              <w:rPr>
                <w:rFonts w:ascii="Calibri" w:eastAsia="Arial Unicode MS" w:hAnsi="Calibri"/>
                <w:color w:val="000000" w:themeColor="text1"/>
                <w:kern w:val="1"/>
                <w:szCs w:val="16"/>
                <w:lang w:val="fr-FR" w:eastAsia="ar-SA"/>
              </w:rPr>
              <w:t xml:space="preserve">  une programmation spécifique au déploiement du flotteur et de basculer vers une programmation Argo 2 ou 3 mois après le déploiement du flotteur.</w:t>
            </w:r>
          </w:p>
        </w:tc>
        <w:tc>
          <w:tcPr>
            <w:tcW w:w="1470" w:type="dxa"/>
            <w:tcMar>
              <w:top w:w="85" w:type="dxa"/>
            </w:tcMar>
          </w:tcPr>
          <w:p w14:paraId="33FF76C5"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Cellule Coriolis</w:t>
            </w:r>
          </w:p>
          <w:p w14:paraId="20AEE68A" w14:textId="3063492D" w:rsidR="00616735" w:rsidRPr="007A1770" w:rsidRDefault="00616735"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Voir Annexe 3</w:t>
            </w:r>
          </w:p>
        </w:tc>
      </w:tr>
      <w:tr w:rsidR="007A1770" w:rsidRPr="001161B5" w14:paraId="799AD480" w14:textId="77777777" w:rsidTr="006162B9">
        <w:trPr>
          <w:trHeight w:val="1887"/>
        </w:trPr>
        <w:tc>
          <w:tcPr>
            <w:tcW w:w="1098" w:type="dxa"/>
            <w:shd w:val="clear" w:color="auto" w:fill="auto"/>
            <w:tcMar>
              <w:top w:w="85" w:type="dxa"/>
            </w:tcMar>
          </w:tcPr>
          <w:p w14:paraId="4FA55001" w14:textId="552DC6FE" w:rsidR="00366134" w:rsidRPr="007A1770" w:rsidRDefault="005B70BD"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BGC-Argo</w:t>
            </w:r>
          </w:p>
        </w:tc>
        <w:tc>
          <w:tcPr>
            <w:tcW w:w="1554" w:type="dxa"/>
            <w:shd w:val="clear" w:color="auto" w:fill="auto"/>
            <w:tcMar>
              <w:top w:w="85" w:type="dxa"/>
            </w:tcMar>
          </w:tcPr>
          <w:p w14:paraId="13FB1A65" w14:textId="672D1301" w:rsidR="00CC5D53" w:rsidRPr="007A1770" w:rsidRDefault="002E7DEC"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PROVBIO</w:t>
            </w:r>
            <w:r w:rsidR="00012B6B" w:rsidRPr="007A1770">
              <w:rPr>
                <w:rFonts w:ascii="Calibri" w:eastAsia="Arial Unicode MS" w:hAnsi="Calibri"/>
                <w:color w:val="000000" w:themeColor="text1"/>
                <w:kern w:val="1"/>
                <w:szCs w:val="16"/>
                <w:lang w:val="fr-FR" w:eastAsia="ar-SA"/>
              </w:rPr>
              <w:t>-V2</w:t>
            </w:r>
          </w:p>
        </w:tc>
        <w:tc>
          <w:tcPr>
            <w:tcW w:w="1274" w:type="dxa"/>
            <w:shd w:val="clear" w:color="auto" w:fill="auto"/>
            <w:tcMar>
              <w:top w:w="85" w:type="dxa"/>
            </w:tcMar>
          </w:tcPr>
          <w:p w14:paraId="23305AFA"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Iridium</w:t>
            </w:r>
          </w:p>
        </w:tc>
        <w:tc>
          <w:tcPr>
            <w:tcW w:w="2150" w:type="dxa"/>
            <w:shd w:val="clear" w:color="auto" w:fill="auto"/>
            <w:tcMar>
              <w:top w:w="85" w:type="dxa"/>
            </w:tcMar>
          </w:tcPr>
          <w:p w14:paraId="111EEAD6"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Température</w:t>
            </w:r>
          </w:p>
          <w:p w14:paraId="6A23C831"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Salinité</w:t>
            </w:r>
          </w:p>
          <w:p w14:paraId="79C3DF55"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 xml:space="preserve">Fluorescence </w:t>
            </w:r>
            <w:proofErr w:type="spellStart"/>
            <w:r w:rsidRPr="007A1770">
              <w:rPr>
                <w:rFonts w:ascii="Calibri" w:eastAsia="Arial Unicode MS" w:hAnsi="Calibri"/>
                <w:color w:val="000000" w:themeColor="text1"/>
                <w:kern w:val="1"/>
                <w:szCs w:val="16"/>
                <w:lang w:val="fr-FR" w:eastAsia="ar-SA"/>
              </w:rPr>
              <w:t>Chl</w:t>
            </w:r>
            <w:proofErr w:type="spellEnd"/>
          </w:p>
          <w:p w14:paraId="6A5BB06B"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Fluorescence CDOM</w:t>
            </w:r>
          </w:p>
          <w:p w14:paraId="5A8BF27A"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PAR</w:t>
            </w:r>
          </w:p>
          <w:p w14:paraId="45E22AF4"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Irradiance 3 longueurs d’onde</w:t>
            </w:r>
          </w:p>
          <w:p w14:paraId="17E78415" w14:textId="77777777" w:rsidR="00CC5D53" w:rsidRPr="007A1770" w:rsidRDefault="00CC5D53"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Rétrodiffusion</w:t>
            </w:r>
          </w:p>
          <w:p w14:paraId="1096BD6B" w14:textId="27C2DA25" w:rsidR="00CF5628" w:rsidRPr="007A1770" w:rsidRDefault="00CF5628"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Oxygène</w:t>
            </w:r>
          </w:p>
        </w:tc>
        <w:tc>
          <w:tcPr>
            <w:tcW w:w="1736" w:type="dxa"/>
            <w:shd w:val="clear" w:color="auto" w:fill="auto"/>
            <w:tcMar>
              <w:top w:w="85" w:type="dxa"/>
            </w:tcMar>
          </w:tcPr>
          <w:p w14:paraId="01ED5F22"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 xml:space="preserve">Oui, pour des périodes limitées. Le flotteur doit revenir ensuite à l’échantillonnage Argo </w:t>
            </w:r>
          </w:p>
        </w:tc>
        <w:tc>
          <w:tcPr>
            <w:tcW w:w="1470" w:type="dxa"/>
            <w:tcMar>
              <w:top w:w="85" w:type="dxa"/>
            </w:tcMar>
          </w:tcPr>
          <w:p w14:paraId="0A6743BE" w14:textId="4BF0549B"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LOV</w:t>
            </w:r>
            <w:r w:rsidR="005B70BD" w:rsidRPr="007A1770">
              <w:rPr>
                <w:rFonts w:ascii="Calibri" w:eastAsia="Arial Unicode MS" w:hAnsi="Calibri"/>
                <w:color w:val="000000" w:themeColor="text1"/>
                <w:kern w:val="1"/>
                <w:szCs w:val="16"/>
                <w:lang w:val="fr-FR" w:eastAsia="ar-SA"/>
              </w:rPr>
              <w:t>-L</w:t>
            </w:r>
            <w:r w:rsidR="00484F36" w:rsidRPr="007A1770">
              <w:rPr>
                <w:rFonts w:ascii="Calibri" w:eastAsia="Arial Unicode MS" w:hAnsi="Calibri"/>
                <w:color w:val="000000" w:themeColor="text1"/>
                <w:kern w:val="1"/>
                <w:szCs w:val="16"/>
                <w:lang w:val="fr-FR" w:eastAsia="ar-SA"/>
              </w:rPr>
              <w:t>OPS</w:t>
            </w:r>
          </w:p>
          <w:p w14:paraId="6BFB158B" w14:textId="3DBB8E72" w:rsidR="00616735" w:rsidRPr="007A1770" w:rsidRDefault="00616735"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Voir Annexe 4</w:t>
            </w:r>
            <w:r w:rsidR="00366134" w:rsidRPr="007A1770">
              <w:rPr>
                <w:rFonts w:ascii="Calibri" w:eastAsia="Arial Unicode MS" w:hAnsi="Calibri"/>
                <w:color w:val="000000" w:themeColor="text1"/>
                <w:kern w:val="1"/>
                <w:szCs w:val="16"/>
                <w:lang w:val="fr-FR" w:eastAsia="ar-SA"/>
              </w:rPr>
              <w:t xml:space="preserve"> et pour les </w:t>
            </w:r>
            <w:proofErr w:type="gramStart"/>
            <w:r w:rsidR="00366134" w:rsidRPr="007A1770">
              <w:rPr>
                <w:rFonts w:ascii="Calibri" w:eastAsia="Arial Unicode MS" w:hAnsi="Calibri"/>
                <w:color w:val="000000" w:themeColor="text1"/>
                <w:kern w:val="1"/>
                <w:szCs w:val="16"/>
                <w:lang w:val="fr-FR" w:eastAsia="ar-SA"/>
              </w:rPr>
              <w:t>données  Oxygène</w:t>
            </w:r>
            <w:proofErr w:type="gramEnd"/>
            <w:r w:rsidR="00366134" w:rsidRPr="007A1770">
              <w:rPr>
                <w:rFonts w:ascii="Calibri" w:eastAsia="Arial Unicode MS" w:hAnsi="Calibri"/>
                <w:color w:val="000000" w:themeColor="text1"/>
                <w:kern w:val="1"/>
                <w:szCs w:val="16"/>
                <w:lang w:val="fr-FR" w:eastAsia="ar-SA"/>
              </w:rPr>
              <w:t xml:space="preserve"> l’Annexe 3</w:t>
            </w:r>
          </w:p>
          <w:p w14:paraId="369E7FD5" w14:textId="77777777" w:rsidR="00CC5D53" w:rsidRPr="007A1770" w:rsidRDefault="00CC5D53" w:rsidP="00CC5D53">
            <w:pPr>
              <w:suppressAutoHyphens/>
              <w:spacing w:before="0" w:after="120"/>
              <w:rPr>
                <w:rFonts w:ascii="Calibri" w:eastAsia="Arial Unicode MS" w:hAnsi="Calibri"/>
                <w:color w:val="000000" w:themeColor="text1"/>
                <w:kern w:val="1"/>
                <w:szCs w:val="16"/>
                <w:lang w:val="fr-FR" w:eastAsia="ar-SA"/>
              </w:rPr>
            </w:pPr>
          </w:p>
        </w:tc>
      </w:tr>
      <w:tr w:rsidR="007A1770" w:rsidRPr="007A1770" w14:paraId="3808B73A" w14:textId="77777777" w:rsidTr="006162B9">
        <w:trPr>
          <w:trHeight w:val="1123"/>
        </w:trPr>
        <w:tc>
          <w:tcPr>
            <w:tcW w:w="1098" w:type="dxa"/>
            <w:shd w:val="clear" w:color="auto" w:fill="auto"/>
            <w:tcMar>
              <w:top w:w="85" w:type="dxa"/>
            </w:tcMar>
          </w:tcPr>
          <w:p w14:paraId="4EE4CE33" w14:textId="60B8BF27" w:rsidR="00DD0245" w:rsidRPr="007A1770" w:rsidRDefault="00691A12"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Argo-O2</w:t>
            </w:r>
          </w:p>
        </w:tc>
        <w:tc>
          <w:tcPr>
            <w:tcW w:w="1554" w:type="dxa"/>
            <w:shd w:val="clear" w:color="auto" w:fill="auto"/>
            <w:tcMar>
              <w:top w:w="85" w:type="dxa"/>
            </w:tcMar>
          </w:tcPr>
          <w:p w14:paraId="3AC7636D" w14:textId="379C7564" w:rsidR="00DD0245" w:rsidRPr="007A1770" w:rsidRDefault="00484F36"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PROVOR</w:t>
            </w:r>
            <w:r w:rsidR="00691A12" w:rsidRPr="007A1770">
              <w:rPr>
                <w:rFonts w:ascii="Calibri" w:eastAsia="Arial Unicode MS" w:hAnsi="Calibri"/>
                <w:color w:val="000000" w:themeColor="text1"/>
                <w:kern w:val="1"/>
                <w:szCs w:val="16"/>
                <w:lang w:val="fr-FR" w:eastAsia="ar-SA"/>
              </w:rPr>
              <w:t>-DO</w:t>
            </w:r>
          </w:p>
        </w:tc>
        <w:tc>
          <w:tcPr>
            <w:tcW w:w="1274" w:type="dxa"/>
            <w:shd w:val="clear" w:color="auto" w:fill="auto"/>
            <w:tcMar>
              <w:top w:w="85" w:type="dxa"/>
            </w:tcMar>
          </w:tcPr>
          <w:p w14:paraId="0E3E31D4" w14:textId="4C271064" w:rsidR="00DD0245" w:rsidRPr="007A1770" w:rsidRDefault="00484F36"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Iridium</w:t>
            </w:r>
          </w:p>
        </w:tc>
        <w:tc>
          <w:tcPr>
            <w:tcW w:w="2150" w:type="dxa"/>
            <w:shd w:val="clear" w:color="auto" w:fill="auto"/>
            <w:tcMar>
              <w:top w:w="85" w:type="dxa"/>
            </w:tcMar>
          </w:tcPr>
          <w:p w14:paraId="6F7D27F9" w14:textId="77777777" w:rsidR="00691A12" w:rsidRPr="007A1770" w:rsidRDefault="00691A12" w:rsidP="00691A12">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Température</w:t>
            </w:r>
          </w:p>
          <w:p w14:paraId="2F73707F" w14:textId="77777777" w:rsidR="00691A12" w:rsidRPr="007A1770" w:rsidRDefault="00691A12" w:rsidP="00691A12">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Salinité</w:t>
            </w:r>
          </w:p>
          <w:p w14:paraId="7CD9C7AE" w14:textId="77777777" w:rsidR="00DD0245" w:rsidRPr="007A1770" w:rsidRDefault="00691A12"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Oxygène</w:t>
            </w:r>
          </w:p>
          <w:p w14:paraId="030A54B5" w14:textId="49CE5426" w:rsidR="006162B9" w:rsidRPr="007A1770" w:rsidRDefault="006162B9" w:rsidP="00CC5D53">
            <w:pPr>
              <w:numPr>
                <w:ilvl w:val="0"/>
                <w:numId w:val="6"/>
              </w:numPr>
              <w:suppressAutoHyphens/>
              <w:spacing w:before="0" w:after="120"/>
              <w:ind w:left="176" w:hanging="176"/>
              <w:jc w:val="left"/>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Possibilité d’activer le mode détection de glace, même après déploiement, moyennant un coût de 800€ à la charge du PI</w:t>
            </w:r>
          </w:p>
        </w:tc>
        <w:tc>
          <w:tcPr>
            <w:tcW w:w="1736" w:type="dxa"/>
            <w:shd w:val="clear" w:color="auto" w:fill="auto"/>
            <w:tcMar>
              <w:top w:w="85" w:type="dxa"/>
            </w:tcMar>
          </w:tcPr>
          <w:p w14:paraId="3E604A31" w14:textId="02F2811B" w:rsidR="00DD0245" w:rsidRPr="007A1770" w:rsidRDefault="00484F36"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Oui, pour des périodes limitées. Le flotteur doit revenir ensuite à l’échantillonnage Argo</w:t>
            </w:r>
          </w:p>
        </w:tc>
        <w:tc>
          <w:tcPr>
            <w:tcW w:w="1470" w:type="dxa"/>
            <w:tcMar>
              <w:top w:w="85" w:type="dxa"/>
            </w:tcMar>
          </w:tcPr>
          <w:p w14:paraId="1A5E02C7" w14:textId="02400FD3" w:rsidR="00DD0245" w:rsidRPr="007A1770" w:rsidRDefault="00484F36" w:rsidP="00CC5D53">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LOPS</w:t>
            </w:r>
          </w:p>
          <w:p w14:paraId="239D417F" w14:textId="37BC938C" w:rsidR="00691A12" w:rsidRPr="007A1770" w:rsidRDefault="00691A12" w:rsidP="00691A12">
            <w:pPr>
              <w:suppressAutoHyphens/>
              <w:spacing w:before="0" w:after="120"/>
              <w:rPr>
                <w:rFonts w:ascii="Calibri" w:eastAsia="Arial Unicode MS" w:hAnsi="Calibri"/>
                <w:color w:val="000000" w:themeColor="text1"/>
                <w:kern w:val="1"/>
                <w:szCs w:val="16"/>
                <w:lang w:val="fr-FR" w:eastAsia="ar-SA"/>
              </w:rPr>
            </w:pPr>
            <w:r w:rsidRPr="007A1770">
              <w:rPr>
                <w:rFonts w:ascii="Calibri" w:eastAsia="Arial Unicode MS" w:hAnsi="Calibri"/>
                <w:color w:val="000000" w:themeColor="text1"/>
                <w:kern w:val="1"/>
                <w:szCs w:val="16"/>
                <w:lang w:val="fr-FR" w:eastAsia="ar-SA"/>
              </w:rPr>
              <w:t xml:space="preserve">Voir Annexe 3 </w:t>
            </w:r>
          </w:p>
          <w:p w14:paraId="0F0B1A9D" w14:textId="20FE48D7" w:rsidR="00691A12" w:rsidRPr="007A1770" w:rsidRDefault="00691A12" w:rsidP="00CC5D53">
            <w:pPr>
              <w:suppressAutoHyphens/>
              <w:spacing w:before="0" w:after="120"/>
              <w:rPr>
                <w:rFonts w:ascii="Calibri" w:eastAsia="Arial Unicode MS" w:hAnsi="Calibri"/>
                <w:color w:val="000000" w:themeColor="text1"/>
                <w:kern w:val="1"/>
                <w:szCs w:val="16"/>
                <w:lang w:val="fr-FR" w:eastAsia="ar-SA"/>
              </w:rPr>
            </w:pPr>
          </w:p>
        </w:tc>
      </w:tr>
    </w:tbl>
    <w:p w14:paraId="5DAD02D6" w14:textId="77777777" w:rsidR="00CC5D53" w:rsidRPr="007A1770" w:rsidRDefault="00CC5D53" w:rsidP="00CC5D53">
      <w:pPr>
        <w:suppressAutoHyphens/>
        <w:spacing w:before="0" w:after="120"/>
        <w:rPr>
          <w:rFonts w:ascii="Calibri" w:eastAsia="Arial Unicode MS" w:hAnsi="Calibri"/>
          <w:color w:val="000000" w:themeColor="text1"/>
          <w:kern w:val="1"/>
          <w:sz w:val="24"/>
          <w:lang w:val="fr-FR" w:eastAsia="ar-SA"/>
        </w:rPr>
      </w:pPr>
      <w:r w:rsidRPr="007A1770">
        <w:rPr>
          <w:rFonts w:ascii="Calibri" w:eastAsia="Arial Unicode MS" w:hAnsi="Calibri"/>
          <w:color w:val="000000" w:themeColor="text1"/>
          <w:kern w:val="1"/>
          <w:sz w:val="24"/>
          <w:lang w:val="fr-FR" w:eastAsia="ar-SA"/>
        </w:rPr>
        <w:t xml:space="preserve">Tableau 1. Type des flotteurs et leurs caractéristiques. </w:t>
      </w:r>
    </w:p>
    <w:p w14:paraId="6A735920" w14:textId="4979481F" w:rsidR="00A12114" w:rsidRPr="007A1770" w:rsidRDefault="00CC5D53" w:rsidP="0080721E">
      <w:pPr>
        <w:suppressAutoHyphens/>
        <w:spacing w:before="0" w:after="120"/>
        <w:rPr>
          <w:rFonts w:ascii="Calibri" w:eastAsia="Arial Unicode MS" w:hAnsi="Calibri"/>
          <w:color w:val="000000" w:themeColor="text1"/>
          <w:kern w:val="1"/>
          <w:sz w:val="24"/>
          <w:lang w:val="fr-FR" w:eastAsia="ar-SA"/>
        </w:rPr>
      </w:pPr>
      <w:r w:rsidRPr="007A1770">
        <w:rPr>
          <w:rFonts w:ascii="Calibri" w:eastAsia="Arial Unicode MS" w:hAnsi="Calibri"/>
          <w:color w:val="000000" w:themeColor="text1"/>
          <w:kern w:val="1"/>
          <w:sz w:val="24"/>
          <w:lang w:val="fr-FR" w:eastAsia="ar-SA"/>
        </w:rPr>
        <w:t xml:space="preserve">NB. Les flotteurs </w:t>
      </w:r>
      <w:r w:rsidR="005B70BD" w:rsidRPr="007A1770">
        <w:rPr>
          <w:rFonts w:ascii="Calibri" w:eastAsia="Arial Unicode MS" w:hAnsi="Calibri"/>
          <w:color w:val="000000" w:themeColor="text1"/>
          <w:kern w:val="1"/>
          <w:sz w:val="24"/>
          <w:lang w:val="fr-FR" w:eastAsia="ar-SA"/>
        </w:rPr>
        <w:t>BGC-Argo</w:t>
      </w:r>
      <w:r w:rsidRPr="007A1770">
        <w:rPr>
          <w:rFonts w:ascii="Calibri" w:eastAsia="Arial Unicode MS" w:hAnsi="Calibri"/>
          <w:color w:val="000000" w:themeColor="text1"/>
          <w:kern w:val="1"/>
          <w:sz w:val="24"/>
          <w:lang w:val="fr-FR" w:eastAsia="ar-SA"/>
        </w:rPr>
        <w:t xml:space="preserve"> sont munis d’une antenne Iridium et d’une carte de pilotage spécifique, qui permettront, pour des périodes de temps limitées, l’utilisation de stratégies d’échantillonnage différentes de celles du protocole Argo standard. Les proposants devront détailler dans l’ANNEXE 2 le protocole d’échantillonnage proposé</w:t>
      </w:r>
    </w:p>
    <w:sectPr w:rsidR="00A12114" w:rsidRPr="007A1770" w:rsidSect="000B5690">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Bold">
    <w:altName w:val="Trebuchet MS"/>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93F51"/>
    <w:multiLevelType w:val="multilevel"/>
    <w:tmpl w:val="7EAABA0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DFB03A7"/>
    <w:multiLevelType w:val="hybridMultilevel"/>
    <w:tmpl w:val="AEEAE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3D4C07"/>
    <w:multiLevelType w:val="multilevel"/>
    <w:tmpl w:val="35988F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0"/>
  </w:num>
  <w:num w:numId="3">
    <w:abstractNumId w:val="0"/>
  </w:num>
  <w:num w:numId="4">
    <w:abstractNumId w:val="0"/>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53"/>
    <w:rsid w:val="00012B6B"/>
    <w:rsid w:val="000B3995"/>
    <w:rsid w:val="000B5690"/>
    <w:rsid w:val="000E1BC3"/>
    <w:rsid w:val="001161B5"/>
    <w:rsid w:val="001E4F4C"/>
    <w:rsid w:val="002E7DEC"/>
    <w:rsid w:val="00300A09"/>
    <w:rsid w:val="00366134"/>
    <w:rsid w:val="00484F36"/>
    <w:rsid w:val="00530E94"/>
    <w:rsid w:val="005B70BD"/>
    <w:rsid w:val="005F466A"/>
    <w:rsid w:val="006162B9"/>
    <w:rsid w:val="00616735"/>
    <w:rsid w:val="00691A12"/>
    <w:rsid w:val="0071715E"/>
    <w:rsid w:val="00722DDA"/>
    <w:rsid w:val="007A1770"/>
    <w:rsid w:val="0080721E"/>
    <w:rsid w:val="0098034E"/>
    <w:rsid w:val="00A12114"/>
    <w:rsid w:val="00C16E6C"/>
    <w:rsid w:val="00C62DBF"/>
    <w:rsid w:val="00CC065F"/>
    <w:rsid w:val="00CC5D53"/>
    <w:rsid w:val="00CF5628"/>
    <w:rsid w:val="00D05F67"/>
    <w:rsid w:val="00DD0245"/>
    <w:rsid w:val="00E03918"/>
    <w:rsid w:val="00E42EDF"/>
    <w:rsid w:val="00F0270D"/>
    <w:rsid w:val="00F15B35"/>
    <w:rsid w:val="00FA6200"/>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983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05F67"/>
    <w:pPr>
      <w:spacing w:before="120"/>
      <w:jc w:val="both"/>
    </w:pPr>
    <w:rPr>
      <w:rFonts w:ascii="Arial" w:hAnsi="Arial" w:cs="Times New Roman"/>
      <w:sz w:val="20"/>
      <w:lang w:val="en-US"/>
    </w:rPr>
  </w:style>
  <w:style w:type="paragraph" w:styleId="Titre1">
    <w:name w:val="heading 1"/>
    <w:basedOn w:val="Normal"/>
    <w:next w:val="Normal"/>
    <w:link w:val="Titre1Car"/>
    <w:uiPriority w:val="9"/>
    <w:qFormat/>
    <w:rsid w:val="000E1BC3"/>
    <w:pPr>
      <w:keepNext/>
      <w:keepLines/>
      <w:numPr>
        <w:numId w:val="5"/>
      </w:numPr>
      <w:spacing w:before="240"/>
      <w:outlineLvl w:val="0"/>
    </w:pPr>
    <w:rPr>
      <w:rFonts w:eastAsia="MS Gothic"/>
      <w:b/>
      <w:bCs/>
      <w:color w:val="0000FF"/>
      <w:sz w:val="22"/>
      <w:szCs w:val="32"/>
      <w:u w:val="single"/>
    </w:rPr>
  </w:style>
  <w:style w:type="paragraph" w:styleId="Titre2">
    <w:name w:val="heading 2"/>
    <w:basedOn w:val="Normal"/>
    <w:next w:val="Normal"/>
    <w:link w:val="Titre2Car"/>
    <w:uiPriority w:val="9"/>
    <w:qFormat/>
    <w:rsid w:val="000E1BC3"/>
    <w:pPr>
      <w:keepNext/>
      <w:keepLines/>
      <w:numPr>
        <w:ilvl w:val="1"/>
        <w:numId w:val="5"/>
      </w:numPr>
      <w:spacing w:before="200"/>
      <w:outlineLvl w:val="1"/>
    </w:pPr>
    <w:rPr>
      <w:rFonts w:eastAsia="MS Gothic"/>
      <w:b/>
      <w:bCs/>
      <w:szCs w:val="26"/>
    </w:rPr>
  </w:style>
  <w:style w:type="paragraph" w:styleId="Titre3">
    <w:name w:val="heading 3"/>
    <w:basedOn w:val="Normal"/>
    <w:next w:val="Normal"/>
    <w:link w:val="Titre3Car"/>
    <w:uiPriority w:val="9"/>
    <w:qFormat/>
    <w:rsid w:val="00D05F67"/>
    <w:pPr>
      <w:keepNext/>
      <w:spacing w:before="240"/>
      <w:outlineLvl w:val="2"/>
    </w:pPr>
    <w:rPr>
      <w:rFonts w:eastAsia="MS Gothic" w:cstheme="minorBidi"/>
      <w:b/>
      <w:bCs/>
      <w:color w:val="0000FF"/>
      <w:sz w:val="22"/>
      <w:szCs w:val="26"/>
      <w:lang w:val="fr-FR"/>
    </w:rPr>
  </w:style>
  <w:style w:type="paragraph" w:styleId="Titre4">
    <w:name w:val="heading 4"/>
    <w:basedOn w:val="Normal"/>
    <w:next w:val="Normal"/>
    <w:link w:val="Titre4Car"/>
    <w:uiPriority w:val="9"/>
    <w:unhideWhenUsed/>
    <w:qFormat/>
    <w:rsid w:val="00D05F67"/>
    <w:pPr>
      <w:keepNext/>
      <w:keepLines/>
      <w:spacing w:before="200"/>
      <w:ind w:firstLine="284"/>
      <w:outlineLvl w:val="3"/>
    </w:pPr>
    <w:rPr>
      <w:rFonts w:eastAsia="MS Gothic" w:cstheme="minorBidi"/>
      <w:bCs/>
      <w:iCs/>
      <w:color w:val="3366FF"/>
      <w:sz w:val="2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uiPriority w:val="9"/>
    <w:rsid w:val="00D05F67"/>
    <w:rPr>
      <w:rFonts w:ascii="Arial" w:eastAsia="MS Gothic" w:hAnsi="Arial"/>
      <w:b/>
      <w:bCs/>
      <w:color w:val="0000FF"/>
      <w:sz w:val="22"/>
      <w:szCs w:val="26"/>
    </w:rPr>
  </w:style>
  <w:style w:type="paragraph" w:styleId="Titre">
    <w:name w:val="Title"/>
    <w:basedOn w:val="Normal"/>
    <w:next w:val="Normal"/>
    <w:link w:val="TitreCar"/>
    <w:uiPriority w:val="10"/>
    <w:qFormat/>
    <w:rsid w:val="000E1BC3"/>
    <w:pPr>
      <w:spacing w:after="300"/>
      <w:contextualSpacing/>
    </w:pPr>
    <w:rPr>
      <w:rFonts w:ascii="Trebuchet MS Bold" w:eastAsia="MS Gothic" w:hAnsi="Trebuchet MS Bold"/>
      <w:spacing w:val="5"/>
      <w:kern w:val="28"/>
      <w:sz w:val="28"/>
      <w:szCs w:val="52"/>
    </w:rPr>
  </w:style>
  <w:style w:type="character" w:customStyle="1" w:styleId="TitreCar">
    <w:name w:val="Titre Car"/>
    <w:link w:val="Titre"/>
    <w:uiPriority w:val="10"/>
    <w:rsid w:val="000E1BC3"/>
    <w:rPr>
      <w:rFonts w:ascii="Trebuchet MS Bold" w:eastAsia="MS Gothic" w:hAnsi="Trebuchet MS Bold" w:cs="Times New Roman"/>
      <w:spacing w:val="5"/>
      <w:kern w:val="28"/>
      <w:sz w:val="28"/>
      <w:szCs w:val="52"/>
    </w:rPr>
  </w:style>
  <w:style w:type="character" w:customStyle="1" w:styleId="Titre1Car">
    <w:name w:val="Titre 1 Car"/>
    <w:link w:val="Titre1"/>
    <w:uiPriority w:val="9"/>
    <w:rsid w:val="000E1BC3"/>
    <w:rPr>
      <w:rFonts w:ascii="Trebuchet MS" w:eastAsia="MS Gothic" w:hAnsi="Trebuchet MS" w:cs="Times New Roman"/>
      <w:b/>
      <w:bCs/>
      <w:color w:val="0000FF"/>
      <w:sz w:val="22"/>
      <w:szCs w:val="32"/>
      <w:u w:val="single"/>
    </w:rPr>
  </w:style>
  <w:style w:type="character" w:customStyle="1" w:styleId="Titre2Car">
    <w:name w:val="Titre 2 Car"/>
    <w:link w:val="Titre2"/>
    <w:uiPriority w:val="9"/>
    <w:rsid w:val="000E1BC3"/>
    <w:rPr>
      <w:rFonts w:ascii="Trebuchet MS" w:eastAsia="MS Gothic" w:hAnsi="Trebuchet MS" w:cs="Times New Roman"/>
      <w:b/>
      <w:bCs/>
      <w:sz w:val="20"/>
      <w:szCs w:val="26"/>
    </w:rPr>
  </w:style>
  <w:style w:type="paragraph" w:styleId="Lgende">
    <w:name w:val="caption"/>
    <w:basedOn w:val="Normal"/>
    <w:next w:val="Normal"/>
    <w:uiPriority w:val="35"/>
    <w:qFormat/>
    <w:rsid w:val="000E1BC3"/>
    <w:pPr>
      <w:spacing w:before="0"/>
      <w:jc w:val="center"/>
    </w:pPr>
    <w:rPr>
      <w:bCs/>
      <w:sz w:val="16"/>
      <w:szCs w:val="18"/>
    </w:rPr>
  </w:style>
  <w:style w:type="paragraph" w:styleId="Textedebulles">
    <w:name w:val="Balloon Text"/>
    <w:basedOn w:val="Normal"/>
    <w:link w:val="TextedebullesCar"/>
    <w:uiPriority w:val="99"/>
    <w:semiHidden/>
    <w:unhideWhenUsed/>
    <w:rsid w:val="000E1BC3"/>
    <w:pPr>
      <w:spacing w:before="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E1BC3"/>
    <w:rPr>
      <w:rFonts w:ascii="Lucida Grande" w:hAnsi="Lucida Grande" w:cs="Lucida Grande"/>
      <w:sz w:val="18"/>
      <w:szCs w:val="18"/>
    </w:rPr>
  </w:style>
  <w:style w:type="character" w:customStyle="1" w:styleId="Titre4Car">
    <w:name w:val="Titre 4 Car"/>
    <w:link w:val="Titre4"/>
    <w:uiPriority w:val="9"/>
    <w:rsid w:val="00D05F67"/>
    <w:rPr>
      <w:rFonts w:ascii="Arial" w:eastAsia="MS Gothic" w:hAnsi="Arial"/>
      <w:bCs/>
      <w:iCs/>
      <w:color w:val="3366F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4F2CE-37E1-437C-98CF-E49C6AD5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CNRS-LOV</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D'Ortenzio</dc:creator>
  <cp:keywords/>
  <dc:description/>
  <cp:lastModifiedBy>Sylvie POULIQUEN, Ifremer Brest PDG-IMN-COA, 02 </cp:lastModifiedBy>
  <cp:revision>2</cp:revision>
  <dcterms:created xsi:type="dcterms:W3CDTF">2017-07-11T12:47:00Z</dcterms:created>
  <dcterms:modified xsi:type="dcterms:W3CDTF">2017-07-11T12:47:00Z</dcterms:modified>
</cp:coreProperties>
</file>